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Revisión formativa del Agente de Investigación</w:t>
      </w:r>
    </w:p>
    <w:p>
      <w:pPr>
        <w:spacing w:after="240"/>
      </w:pPr>
      <w:r>
        <w:rPr>
          <w:b w:val="0"/>
        </w:rPr>
        <w:t>Tres notas de urología. Muestra revisada el 19 de septiembre de 2026.</w:t>
      </w:r>
    </w:p>
    <w:p>
      <w:pPr>
        <w:spacing w:after="140"/>
      </w:pPr>
      <w:r>
        <w:rPr>
          <w:b w:val="0"/>
        </w:rPr>
        <w:t>Le pedimos contrastar cada nota con su fuente y registrar qué conservaría, qué corregiría y qué falta. Sus observaciones servirán para mejorar esta versión. Las tres notas se eligieron por correcciones editoriales previas; no son una muestra aleatoria ni permiten estimar la exactitud general del producto.</w:t>
      </w:r>
    </w:p>
    <w:p>
      <w:pPr>
        <w:spacing w:after="160"/>
      </w:pPr>
      <w:r>
        <w:rPr>
          <w:b w:val="0"/>
        </w:rPr>
      </w:r>
      <w:r>
        <w:rPr>
          <w:b/>
        </w:rPr>
        <w:t xml:space="preserve">Profesional revisor </w:t>
      </w:r>
      <w:sdt>
        <w:sdtPr>
          <w:tag w:val="REVISOR"/>
          <w:alias w:val="REVISOR"/>
          <w:text/>
        </w:sdtPr>
        <w:sdtContent>
          <w:r>
            <w:t>[Escriba aquí]</w:t>
          </w:r>
        </w:sdtContent>
      </w:sdt>
    </w:p>
    <w:p>
      <w:pPr>
        <w:spacing w:after="160"/>
      </w:pPr>
      <w:r>
        <w:rPr>
          <w:b w:val="0"/>
        </w:rPr>
      </w:r>
      <w:r>
        <w:rPr>
          <w:b/>
        </w:rPr>
        <w:t xml:space="preserve">Especialidad y experiencia pertinente </w:t>
      </w:r>
      <w:sdt>
        <w:sdtPr>
          <w:tag w:val="EXPERIENCIA"/>
          <w:alias w:val="EXPERIENCIA"/>
          <w:text/>
        </w:sdtPr>
        <w:sdtContent>
          <w:r>
            <w:t>[Escriba aquí]</w:t>
          </w:r>
        </w:sdtContent>
      </w:sdt>
    </w:p>
    <w:p>
      <w:pPr>
        <w:spacing w:after="160"/>
      </w:pPr>
      <w:r>
        <w:rPr>
          <w:b w:val="0"/>
        </w:rPr>
      </w:r>
      <w:r>
        <w:rPr>
          <w:b/>
        </w:rPr>
        <w:t xml:space="preserve">Fecha de revisión </w:t>
      </w:r>
      <w:sdt>
        <w:sdtPr>
          <w:tag w:val="FECHA"/>
          <w:alias w:val="FECHA"/>
          <w:text/>
        </w:sdtPr>
        <w:sdtContent>
          <w:r>
            <w:t>[Escriba aquí]</w:t>
          </w:r>
        </w:sdtContent>
      </w:sdt>
    </w:p>
    <w:p>
      <w:pPr>
        <w:spacing w:after="160"/>
      </w:pPr>
      <w:r>
        <w:rPr>
          <w:b w:val="0"/>
        </w:rPr>
      </w:r>
      <w:r>
        <w:rPr>
          <w:b/>
        </w:rPr>
        <w:t xml:space="preserve">Relación con Flow o con Roberto </w:t>
      </w:r>
      <w:sdt>
        <w:sdtPr>
          <w:tag w:val="RELACION"/>
          <w:alias w:val="RELACION"/>
          <w:text/>
        </w:sdtPr>
        <w:sdtContent>
          <w:r>
            <w:t>[Escriba aquí]</w:t>
          </w:r>
        </w:sdtContent>
      </w:sdt>
    </w:p>
    <w:p>
      <w:pPr>
        <w:pStyle w:val="Heading1"/>
      </w:pPr>
      <w:r>
        <w:t>Cómo completar la revisión</w:t>
      </w:r>
    </w:p>
    <w:p>
      <w:pPr>
        <w:spacing w:after="140"/>
      </w:pPr>
      <w:r>
        <w:rPr>
          <w:b w:val="0"/>
        </w:rPr>
        <w:t>Abra la referencia de PubMed de cada ficha. Indique si consultó el abstract, el texto completo u otra fuente. Escriba la respuesta que corresponda a cada aspecto y detalle cualquier corrección con la frase y el lugar de la fuente que la sustenta.</w:t>
      </w:r>
    </w:p>
    <w:p>
      <w:pPr>
        <w:spacing w:after="100"/>
      </w:pPr>
      <w:r>
        <w:rPr>
          <w:b w:val="0"/>
        </w:rPr>
      </w:r>
      <w:r>
        <w:rPr>
          <w:b/>
        </w:rPr>
        <w:t xml:space="preserve">Sustentado. </w:t>
      </w:r>
      <w:r>
        <w:t>La formulación corresponde a lo que pudo comprobar en la fuente consultada.</w:t>
      </w:r>
    </w:p>
    <w:p>
      <w:pPr>
        <w:spacing w:after="100"/>
      </w:pPr>
      <w:r>
        <w:rPr>
          <w:b w:val="0"/>
        </w:rPr>
      </w:r>
      <w:r>
        <w:rPr>
          <w:b/>
        </w:rPr>
        <w:t xml:space="preserve">Requiere corrección. </w:t>
      </w:r>
      <w:r>
        <w:t>Identifica un error, una omisión relevante o una interpretación que excede la fuente.</w:t>
      </w:r>
    </w:p>
    <w:p>
      <w:pPr>
        <w:spacing w:after="100"/>
      </w:pPr>
      <w:r>
        <w:rPr>
          <w:b w:val="0"/>
        </w:rPr>
      </w:r>
      <w:r>
        <w:rPr>
          <w:b/>
        </w:rPr>
        <w:t xml:space="preserve">No evaluable. </w:t>
      </w:r>
      <w:r>
        <w:t>La fuente consultada o su ámbito de experiencia no permiten juzgar ese aspecto.</w:t>
      </w:r>
    </w:p>
    <w:p>
      <w:pPr>
        <w:spacing w:after="100"/>
      </w:pPr>
      <w:r>
        <w:rPr>
          <w:b w:val="0"/>
        </w:rPr>
      </w:r>
      <w:r>
        <w:rPr>
          <w:b/>
        </w:rPr>
        <w:t xml:space="preserve">No aplica. </w:t>
      </w:r>
      <w:r>
        <w:t>El aspecto no corresponde a esta nota. Explique brevemente el motivo.</w:t>
      </w:r>
    </w:p>
    <w:p>
      <w:pPr>
        <w:spacing w:after="160"/>
      </w:pPr>
      <w:r>
        <w:rPr>
          <w:b w:val="0"/>
        </w:rPr>
        <w:t>Los campos parten de “Sin evaluar”. Puede ampliar cualquier respuesta en Word. Registre también desacuerdos y dudas; no es necesario emitir una recomendación favorable. No incluya datos de pacientes.</w:t>
      </w:r>
    </w:p>
    <w:p>
      <w:pPr>
        <w:pStyle w:val="Heading1"/>
      </w:pPr>
      <w:r>
        <w:t>Alcance y uso de sus comentarios</w:t>
      </w:r>
    </w:p>
    <w:p>
      <w:pPr>
        <w:spacing w:after="140"/>
      </w:pPr>
      <w:r>
        <w:rPr>
          <w:b w:val="0"/>
        </w:rPr>
        <w:t>La muestra procede de una revisión editorial asistida por IA contra abstracts. Esta revisión formativa no mide eficacia clínica ni ahorro de tiempo. La relación con Flow se declara; participar no implica autorizar un testimonio, un aval o el uso público de su nombre. Cualquier atribución se acordará por separado.</w:t>
      </w:r>
    </w:p>
    <w:p>
      <w:pPr>
        <w:spacing w:after="80"/>
      </w:pPr>
      <w:r>
        <w:rPr>
          <w:b w:val="0"/>
        </w:rPr>
      </w:r>
      <w:hyperlink r:id="rId10">
        <w:r>
          <w:rPr>
            <w:color w:val="333333"/>
            <w:u w:val="single"/>
          </w:rPr>
          <w:t>Consultar la muestra completa de tres páginas</w:t>
        </w:r>
      </w:hyperlink>
    </w:p>
    <w:p>
      <w:pPr>
        <w:spacing w:after="80"/>
      </w:pPr>
      <w:r>
        <w:rPr>
          <w:b w:val="0"/>
        </w:rPr>
      </w:r>
      <w:hyperlink r:id="rId11">
        <w:r>
          <w:rPr>
            <w:color w:val="333333"/>
            <w:u w:val="single"/>
          </w:rPr>
          <w:t>Consultar el caso y el registro de correcciones</w:t>
        </w:r>
      </w:hyperlink>
    </w:p>
    <w:p>
      <w:pPr>
        <w:spacing w:after="0"/>
      </w:pPr>
      <w:r>
        <w:rPr>
          <w:b w:val="0"/>
          <w:sz w:val="18"/>
        </w:rPr>
      </w:r>
      <w:r>
        <w:rPr>
          <w:sz w:val="18"/>
        </w:rPr>
        <w:t xml:space="preserve">Referencia para documentar el método: </w:t>
      </w:r>
      <w:hyperlink r:id="rId12">
        <w:r>
          <w:rPr>
            <w:color w:val="333333"/>
            <w:u w:val="single"/>
          </w:rPr>
          <w:t>TRIPOD-LLM, Nature Medicine, 2025</w:t>
        </w:r>
      </w:hyperlink>
      <w:r>
        <w:rPr>
          <w:sz w:val="18"/>
        </w:rPr>
        <w:t>. Este formulario no declara cumplimiento de la guía.</w:t>
      </w:r>
    </w:p>
    <w:p>
      <w:r>
        <w:br w:type="page"/>
      </w:r>
    </w:p>
    <w:p>
      <w:pPr>
        <w:pStyle w:val="Heading1"/>
      </w:pPr>
      <w:r>
        <w:t>Nota 1</w:t>
      </w:r>
    </w:p>
    <w:p>
      <w:pPr>
        <w:spacing w:after="100"/>
      </w:pPr>
      <w:r>
        <w:rPr>
          <w:b/>
        </w:rPr>
        <w:t>Enucleación endoscópica de próstata con generadores de tulio:YAG pulsado: revisión sistemática</w:t>
      </w:r>
    </w:p>
    <w:p>
      <w:pPr>
        <w:spacing w:after="160"/>
      </w:pPr>
      <w:r>
        <w:rPr>
          <w:b w:val="0"/>
        </w:rPr>
      </w:r>
      <w:r>
        <w:t xml:space="preserve">World Journal of Urology. 2026-08-23. </w:t>
      </w:r>
      <w:hyperlink r:id="rId13">
        <w:r>
          <w:rPr>
            <w:color w:val="333333"/>
            <w:u w:val="single"/>
          </w:rPr>
          <w:t>PubMed 42633610</w:t>
        </w:r>
      </w:hyperlink>
    </w:p>
    <w:p>
      <w:pPr>
        <w:spacing w:after="100"/>
      </w:pPr>
      <w:r>
        <w:rPr>
          <w:b w:val="0"/>
        </w:rPr>
        <w:t>Orientación de lectura de la muestra: leer a fondo.</w:t>
      </w:r>
    </w:p>
    <w:p>
      <w:pPr>
        <w:spacing w:after="140"/>
      </w:pPr>
      <w:r>
        <w:rPr>
          <w:b w:val="0"/>
        </w:rPr>
        <w:t>Revisión sistemática con metodología PRISMA que incluyó 8 estudios sobre generadores de tulio:YAG pulsado para enucleación endoscópica de próstata. Las medias de tiempo operatorio variaron entre 40.8 ± 21.7 y 101.7 ± 18.5 minutos; las complicaciones Clavien-Dindo III-IV, entre 0 y 15.6%; y la incontinencia posoperatoria, entre 0 y 18.4%. Cuatro estudios compararon tulio pulsado y holmio, con resultados comparables en esa evidencia limitada. Los autores solicitan estudios más grandes y con mejor diseño.</w:t>
      </w:r>
    </w:p>
    <w:p>
      <w:pPr>
        <w:spacing w:after="140"/>
      </w:pPr>
      <w:r>
        <w:rPr>
          <w:b w:val="0"/>
        </w:rPr>
      </w:r>
      <w:r>
        <w:rPr>
          <w:b/>
        </w:rPr>
        <w:t xml:space="preserve">Por qué importa. </w:t>
      </w:r>
      <w:r>
        <w:t>Permite examinar resultados y limitaciones de estas plataformas. La comparabilidad observada en pocos estudios no establece equivalencia para todos los pacientes.</w:t>
      </w:r>
    </w:p>
    <w:p>
      <w:pPr>
        <w:spacing w:after="140"/>
      </w:pPr>
      <w:r>
        <w:rPr>
          <w:b w:val="0"/>
        </w:rPr>
      </w:r>
      <w:r>
        <w:rPr>
          <w:b/>
        </w:rPr>
        <w:t xml:space="preserve">Para sus pacientes. </w:t>
      </w:r>
      <w:r>
        <w:t>Estos estudios orientan la conversación con su urólogo; la elección de técnica requiere valorar su situación y las limitaciones de la evidencia.</w:t>
      </w:r>
    </w:p>
    <w:p>
      <w:pPr>
        <w:pStyle w:val="Heading2"/>
      </w:pPr>
      <w:r>
        <w:t>Su revisión</w:t>
      </w:r>
    </w:p>
    <w:p>
      <w:pPr>
        <w:spacing w:after="120"/>
      </w:pPr>
      <w:r>
        <w:rPr>
          <w:b w:val="0"/>
        </w:rPr>
      </w:r>
      <w:r>
        <w:rPr>
          <w:b/>
        </w:rPr>
        <w:t xml:space="preserve">Fuente consultada y ubicación </w:t>
      </w:r>
      <w:sdt>
        <w:sdtPr>
          <w:tag w:val="NOTA_1_FUENTE"/>
          <w:alias w:val="NOTA_1_FUENTE"/>
          <w:text/>
        </w:sdtPr>
        <w:sdtContent>
          <w:r>
            <w:t>[Indique abstract, texto completo u otra fuente, y sección o página]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3888"/>
      </w:tblGrid>
      <w:tr>
        <w:trPr>
          <w:tblHeader/>
        </w:trPr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Aspecto de la nota</w:t>
            </w:r>
          </w:p>
        </w:tc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Respuesta</w:t>
            </w:r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Población y diseño del estudio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1_ASPECTO_1"/>
                <w:alias w:val="NOTA_1_ASPECTO_1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Comparación y resultados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1_ASPECTO_2"/>
                <w:alias w:val="NOTA_1_ASPECTO_2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Cifras, unidades y denominadores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1_ASPECTO_3"/>
                <w:alias w:val="NOTA_1_ASPECTO_3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Interpretación e incertidumbre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1_ASPECTO_4"/>
                <w:alias w:val="NOTA_1_ASPECTO_4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</w:tbl>
    <w:p>
      <w:pPr>
        <w:spacing w:after="120"/>
      </w:pPr>
      <w:r>
        <w:rPr>
          <w:b w:val="0"/>
        </w:rPr>
        <w:t>Use Sustentado, Requiere corrección, No evaluable o No aplica.</w:t>
      </w:r>
    </w:p>
    <w:p>
      <w:pPr>
        <w:spacing w:after="200"/>
      </w:pPr>
      <w:r>
        <w:rPr>
          <w:b w:val="0"/>
        </w:rPr>
      </w:r>
      <w:r>
        <w:rPr>
          <w:b/>
        </w:rPr>
        <w:t xml:space="preserve">Frase que cambiaría, motivo e impacto </w:t>
      </w:r>
      <w:sdt>
        <w:sdtPr>
          <w:tag w:val="NOTA_1_HALLAZGO"/>
          <w:alias w:val="NOTA_1_HALLAZGO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Redacción propuesta y respaldo en la fuente </w:t>
      </w:r>
      <w:sdt>
        <w:sdtPr>
          <w:tag w:val="NOTA_1_CORRECCION"/>
          <w:alias w:val="NOTA_1_CORRECC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Omisiones relevantes o dudas pendientes </w:t>
      </w:r>
      <w:sdt>
        <w:sdtPr>
          <w:tag w:val="NOTA_1_OMISION"/>
          <w:alias w:val="NOTA_1_OMIS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Utilidad para orientar una primera lectura y motivo </w:t>
      </w:r>
      <w:sdt>
        <w:sdtPr>
          <w:tag w:val="NOTA_1_UTILIDAD"/>
          <w:alias w:val="NOTA_1_UTILIDAD"/>
          <w:text/>
        </w:sdtPr>
        <w:sdtContent>
          <w:r>
            <w:t>[Escriba aquí]</w:t>
          </w:r>
        </w:sdtContent>
      </w:sdt>
    </w:p>
    <w:p>
      <w:r>
        <w:br w:type="page"/>
      </w:r>
    </w:p>
    <w:p>
      <w:pPr>
        <w:pStyle w:val="Heading1"/>
      </w:pPr>
      <w:r>
        <w:t>Nota 2</w:t>
      </w:r>
    </w:p>
    <w:p>
      <w:pPr>
        <w:spacing w:after="100"/>
      </w:pPr>
      <w:r>
        <w:rPr>
          <w:b/>
        </w:rPr>
        <w:t>Valor predictivo del puntaje Node-RADS en candidatos a prostatectomía radical: comparación con nomogramas y PSMA-PET/CT</w:t>
      </w:r>
    </w:p>
    <w:p>
      <w:pPr>
        <w:spacing w:after="160"/>
      </w:pPr>
      <w:r>
        <w:rPr>
          <w:b w:val="0"/>
        </w:rPr>
      </w:r>
      <w:r>
        <w:t xml:space="preserve">European Urology Focus. 2026-08-21. </w:t>
      </w:r>
      <w:hyperlink r:id="rId14">
        <w:r>
          <w:rPr>
            <w:color w:val="333333"/>
            <w:u w:val="single"/>
          </w:rPr>
          <w:t>PubMed 42629306</w:t>
        </w:r>
      </w:hyperlink>
    </w:p>
    <w:p>
      <w:pPr>
        <w:spacing w:after="140"/>
      </w:pPr>
      <w:r>
        <w:rPr>
          <w:b w:val="0"/>
        </w:rPr>
        <w:t>Estudio prospectivo de 267 pacientes seleccionados para prostatectomía y disección ganglionar extendida; 104 tuvieron PSMA-PET/CT. Node-RADS obtuvo AUC 0.637 y PSMA-PET/CT 0.526; Briganti 2019 alcanzó 0.711 y la combinación con Node-RADS, 0.719. Son resultados de esa cohorte seleccionada. El tamaño del subgrupo con PET y los criterios de inclusión son necesarios para interpretar la comparación.</w:t>
      </w:r>
    </w:p>
    <w:p>
      <w:pPr>
        <w:pStyle w:val="Heading2"/>
      </w:pPr>
      <w:r>
        <w:t>Su revisión</w:t>
      </w:r>
    </w:p>
    <w:p>
      <w:pPr>
        <w:spacing w:after="120"/>
      </w:pPr>
      <w:r>
        <w:rPr>
          <w:b w:val="0"/>
        </w:rPr>
      </w:r>
      <w:r>
        <w:rPr>
          <w:b/>
        </w:rPr>
        <w:t xml:space="preserve">Fuente consultada y ubicación </w:t>
      </w:r>
      <w:sdt>
        <w:sdtPr>
          <w:tag w:val="NOTA_2_FUENTE"/>
          <w:alias w:val="NOTA_2_FUENTE"/>
          <w:text/>
        </w:sdtPr>
        <w:sdtContent>
          <w:r>
            <w:t>[Indique abstract, texto completo u otra fuente, y sección o página]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3888"/>
      </w:tblGrid>
      <w:tr>
        <w:trPr>
          <w:tblHeader/>
        </w:trPr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Aspecto de la nota</w:t>
            </w:r>
          </w:p>
        </w:tc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Respuesta</w:t>
            </w:r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Población y diseño del estudio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2_ASPECTO_1"/>
                <w:alias w:val="NOTA_2_ASPECTO_1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Comparación y resultados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2_ASPECTO_2"/>
                <w:alias w:val="NOTA_2_ASPECTO_2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Cifras, unidades y denominadores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2_ASPECTO_3"/>
                <w:alias w:val="NOTA_2_ASPECTO_3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Interpretación e incertidumbre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2_ASPECTO_4"/>
                <w:alias w:val="NOTA_2_ASPECTO_4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</w:tbl>
    <w:p>
      <w:pPr>
        <w:spacing w:after="120"/>
      </w:pPr>
      <w:r>
        <w:rPr>
          <w:b w:val="0"/>
        </w:rPr>
        <w:t>Use Sustentado, Requiere corrección, No evaluable o No aplica.</w:t>
      </w:r>
    </w:p>
    <w:p>
      <w:pPr>
        <w:spacing w:after="200"/>
      </w:pPr>
      <w:r>
        <w:rPr>
          <w:b w:val="0"/>
        </w:rPr>
      </w:r>
      <w:r>
        <w:rPr>
          <w:b/>
        </w:rPr>
        <w:t xml:space="preserve">Frase que cambiaría, motivo e impacto </w:t>
      </w:r>
      <w:sdt>
        <w:sdtPr>
          <w:tag w:val="NOTA_2_HALLAZGO"/>
          <w:alias w:val="NOTA_2_HALLAZGO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Redacción propuesta y respaldo en la fuente </w:t>
      </w:r>
      <w:sdt>
        <w:sdtPr>
          <w:tag w:val="NOTA_2_CORRECCION"/>
          <w:alias w:val="NOTA_2_CORRECC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Omisiones relevantes o dudas pendientes </w:t>
      </w:r>
      <w:sdt>
        <w:sdtPr>
          <w:tag w:val="NOTA_2_OMISION"/>
          <w:alias w:val="NOTA_2_OMIS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Utilidad para orientar una primera lectura y motivo </w:t>
      </w:r>
      <w:sdt>
        <w:sdtPr>
          <w:tag w:val="NOTA_2_UTILIDAD"/>
          <w:alias w:val="NOTA_2_UTILIDAD"/>
          <w:text/>
        </w:sdtPr>
        <w:sdtContent>
          <w:r>
            <w:t>[Escriba aquí]</w:t>
          </w:r>
        </w:sdtContent>
      </w:sdt>
    </w:p>
    <w:p>
      <w:r>
        <w:br w:type="page"/>
      </w:r>
    </w:p>
    <w:p>
      <w:pPr>
        <w:pStyle w:val="Heading1"/>
      </w:pPr>
      <w:r>
        <w:t>Nota 3</w:t>
      </w:r>
    </w:p>
    <w:p>
      <w:pPr>
        <w:spacing w:after="100"/>
      </w:pPr>
      <w:r>
        <w:rPr>
          <w:b/>
        </w:rPr>
        <w:t>Selección del candidato ideal para electroporación irreversible en cáncer de próstata localizado</w:t>
      </w:r>
    </w:p>
    <w:p>
      <w:pPr>
        <w:spacing w:after="160"/>
      </w:pPr>
      <w:r>
        <w:rPr>
          <w:b w:val="0"/>
        </w:rPr>
      </w:r>
      <w:r>
        <w:t xml:space="preserve">BJU International. 2026-08-26. </w:t>
      </w:r>
      <w:hyperlink r:id="rId15">
        <w:r>
          <w:rPr>
            <w:color w:val="333333"/>
            <w:u w:val="single"/>
          </w:rPr>
          <w:t>PubMed 42643154</w:t>
        </w:r>
      </w:hyperlink>
    </w:p>
    <w:p>
      <w:pPr>
        <w:spacing w:after="140"/>
      </w:pPr>
      <w:r>
        <w:rPr>
          <w:b w:val="0"/>
        </w:rPr>
        <w:t>Revisión narrativa de electroporación irreversible en cáncer de próstata localizado, con literatura de 2014 a 2025. Describe un perfil candidato con lesión unilateral visible en RM, enfermedad confinada al órgano, ISUP 2 a 3, densidad de APE &lt;0.15 a 0.20 ng/mL/cm³ y lesión generalmente ≤20 mm. La comparación entre hemi-glándula y ablación focal procede de evidencia limitada, principalmente un estudio. La recurrencia fuera del área tratada sigue siendo una limitación y requiere seguimiento.</w:t>
      </w:r>
    </w:p>
    <w:p>
      <w:pPr>
        <w:pStyle w:val="Heading2"/>
      </w:pPr>
      <w:r>
        <w:t>Su revisión</w:t>
      </w:r>
    </w:p>
    <w:p>
      <w:pPr>
        <w:spacing w:after="120"/>
      </w:pPr>
      <w:r>
        <w:rPr>
          <w:b w:val="0"/>
        </w:rPr>
      </w:r>
      <w:r>
        <w:rPr>
          <w:b/>
        </w:rPr>
        <w:t xml:space="preserve">Fuente consultada y ubicación </w:t>
      </w:r>
      <w:sdt>
        <w:sdtPr>
          <w:tag w:val="NOTA_3_FUENTE"/>
          <w:alias w:val="NOTA_3_FUENTE"/>
          <w:text/>
        </w:sdtPr>
        <w:sdtContent>
          <w:r>
            <w:t>[Indique abstract, texto completo u otra fuente, y sección o página]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3888"/>
      </w:tblGrid>
      <w:tr>
        <w:trPr>
          <w:tblHeader/>
        </w:trPr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Aspecto de la nota</w:t>
            </w:r>
          </w:p>
        </w:tc>
        <w:tc>
          <w:tcPr>
            <w:tcW w:type="dxa" w:w="49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/>
                <w:sz w:val="20"/>
              </w:rPr>
              <w:t>Respuesta</w:t>
            </w:r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Población y diseño del estudio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3_ASPECTO_1"/>
                <w:alias w:val="NOTA_3_ASPECTO_1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Comparación y resultados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3_ASPECTO_2"/>
                <w:alias w:val="NOTA_3_ASPECTO_2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Cifras, unidades y denominadores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3_ASPECTO_3"/>
                <w:alias w:val="NOTA_3_ASPECTO_3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  <w:tr>
        <w:tc>
          <w:tcPr>
            <w:tcW w:type="dxa" w:w="60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r>
              <w:rPr>
                <w:rFonts w:ascii="Arial" w:hAnsi="Arial"/>
                <w:b w:val="0"/>
                <w:sz w:val="20"/>
              </w:rPr>
              <w:t>Interpretación e incertidumbre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bottom w:val="single" w:sz="4" w:color="DDDDDD"/>
            </w:tcBorders>
          </w:tcPr>
          <w:p>
            <w:pPr>
              <w:spacing w:after="20" w:before="20"/>
            </w:pPr>
            <w:sdt>
              <w:sdtPr>
                <w:tag w:val="NOTA_3_ASPECTO_4"/>
                <w:alias w:val="NOTA_3_ASPECTO_4"/>
                <w:text/>
              </w:sdtPr>
              <w:sdtContent>
                <w:r>
                  <w:rPr>
                    <w:rFonts w:ascii="Arial" w:hAnsi="Arial"/>
                    <w:b w:val="0"/>
                    <w:sz w:val="20"/>
                  </w:rPr>
                  <w:t>Sin evaluar</w:t>
                </w:r>
              </w:sdtContent>
            </w:sdt>
          </w:p>
        </w:tc>
      </w:tr>
    </w:tbl>
    <w:p>
      <w:pPr>
        <w:spacing w:after="120"/>
      </w:pPr>
      <w:r>
        <w:rPr>
          <w:b w:val="0"/>
        </w:rPr>
        <w:t>Use Sustentado, Requiere corrección, No evaluable o No aplica.</w:t>
      </w:r>
    </w:p>
    <w:p>
      <w:pPr>
        <w:spacing w:after="200"/>
      </w:pPr>
      <w:r>
        <w:rPr>
          <w:b w:val="0"/>
        </w:rPr>
      </w:r>
      <w:r>
        <w:rPr>
          <w:b/>
        </w:rPr>
        <w:t xml:space="preserve">Frase que cambiaría, motivo e impacto </w:t>
      </w:r>
      <w:sdt>
        <w:sdtPr>
          <w:tag w:val="NOTA_3_HALLAZGO"/>
          <w:alias w:val="NOTA_3_HALLAZGO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Redacción propuesta y respaldo en la fuente </w:t>
      </w:r>
      <w:sdt>
        <w:sdtPr>
          <w:tag w:val="NOTA_3_CORRECCION"/>
          <w:alias w:val="NOTA_3_CORRECC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Omisiones relevantes o dudas pendientes </w:t>
      </w:r>
      <w:sdt>
        <w:sdtPr>
          <w:tag w:val="NOTA_3_OMISION"/>
          <w:alias w:val="NOTA_3_OMISION"/>
          <w:text/>
        </w:sdtPr>
        <w:sdtContent>
          <w:r>
            <w:t>[Escriba aquí]</w:t>
          </w:r>
        </w:sdtContent>
      </w:sdt>
    </w:p>
    <w:p>
      <w:pPr>
        <w:spacing w:after="200"/>
      </w:pPr>
      <w:r>
        <w:rPr>
          <w:b w:val="0"/>
        </w:rPr>
      </w:r>
      <w:r>
        <w:rPr>
          <w:b/>
        </w:rPr>
        <w:t xml:space="preserve">Utilidad para orientar una primera lectura y motivo </w:t>
      </w:r>
      <w:sdt>
        <w:sdtPr>
          <w:tag w:val="NOTA_3_UTILIDAD"/>
          <w:alias w:val="NOTA_3_UTILIDAD"/>
          <w:text/>
        </w:sdtPr>
        <w:sdtContent>
          <w:r>
            <w:t>[Escriba aquí]</w:t>
          </w:r>
        </w:sdtContent>
      </w:sdt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16"/>
      </w:rPr>
      <w:t xml:space="preserve">Agente de Investigación. Formulario 1.0.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Georgia" w:hAnsi="Georgia" w:eastAsia="Georgia" w:cs="Georg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="Georgia" w:hAnsi="Georgia" w:eastAsia="Georgia" w:cs="Georgia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="Georgia" w:hAnsi="Georgia" w:eastAsia="Georgia" w:cs="Georgia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59" w:lineRule="auto"/>
      <w:contextualSpacing/>
    </w:pPr>
    <w:rPr>
      <w:rFonts w:ascii="Georgia" w:hAnsi="Georgia" w:eastAsia="Georgia" w:cs="Georgia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gente.flowresults.com/urologia-avanzada/ejemplo/Agente_Investigacion_Urologia_Avanzada_Ejemplo.pdf" TargetMode="External"/><Relationship Id="rId11" Type="http://schemas.openxmlformats.org/officeDocument/2006/relationships/hyperlink" Target="https://robertoecheverriacardenas.com/casos/agente-investigacion" TargetMode="External"/><Relationship Id="rId12" Type="http://schemas.openxmlformats.org/officeDocument/2006/relationships/hyperlink" Target="https://www.nature.com/articles/s41591-024-03425-5" TargetMode="External"/><Relationship Id="rId13" Type="http://schemas.openxmlformats.org/officeDocument/2006/relationships/hyperlink" Target="https://pubmed.ncbi.nlm.nih.gov/42633610/" TargetMode="External"/><Relationship Id="rId14" Type="http://schemas.openxmlformats.org/officeDocument/2006/relationships/hyperlink" Target="https://pubmed.ncbi.nlm.nih.gov/42629306/" TargetMode="External"/><Relationship Id="rId15" Type="http://schemas.openxmlformats.org/officeDocument/2006/relationships/hyperlink" Target="https://pubmed.ncbi.nlm.nih.gov/4264315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formativa del Agente de Investigación</dc:title>
  <dc:subject>Formulario editable para revisar tres notas de la muestra de urología</dc:subject>
  <dc:creator>Flow Results</dc:creator>
  <cp:keywords>revisión formativa, urología, trazabilidad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